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932"/>
        <w:gridCol w:w="4111"/>
        <w:gridCol w:w="2977"/>
      </w:tblGrid>
      <w:tr>
        <w:trPr>
          <w:trHeight w:val="1073" w:hRule="auto"/>
          <w:jc w:val="left"/>
        </w:trPr>
        <w:tc>
          <w:tcPr>
            <w:tcW w:w="2932" w:type="dxa"/>
            <w:tcBorders>
              <w:top w:val="single" w:color="5b9bd5" w:sz="24"/>
              <w:left w:val="single" w:color="5b9bd5" w:sz="24"/>
              <w:bottom w:val="single" w:color="5b9bd5" w:sz="24"/>
              <w:right w:val="single" w:color="5b9bd5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05" w:dyaOrig="1008">
                <v:rect xmlns:o="urn:schemas-microsoft-com:office:office" xmlns:v="urn:schemas-microsoft-com:vml" id="rectole0000000000" style="width:125.250000pt;height:50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111" w:type="dxa"/>
            <w:tcBorders>
              <w:top w:val="single" w:color="5b9bd5" w:sz="24"/>
              <w:left w:val="single" w:color="5b9bd5" w:sz="18"/>
              <w:bottom w:val="single" w:color="5b9bd5" w:sz="24"/>
              <w:right w:val="single" w:color="5b9bd5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72C4"/>
                <w:spacing w:val="0"/>
                <w:position w:val="0"/>
                <w:sz w:val="72"/>
                <w:u w:val="single"/>
                <w:shd w:fill="auto" w:val="clear"/>
              </w:rPr>
              <w:t xml:space="preserve">تمارين حول الاعداد العشرية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ED3BE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www.medrassatouna.com</w:t>
              </w:r>
            </w:hyperlink>
          </w:p>
        </w:tc>
        <w:tc>
          <w:tcPr>
            <w:tcW w:w="2977" w:type="dxa"/>
            <w:tcBorders>
              <w:top w:val="single" w:color="5b9bd5" w:sz="24"/>
              <w:left w:val="single" w:color="5b9bd5" w:sz="18"/>
              <w:bottom w:val="single" w:color="5b9bd5" w:sz="24"/>
              <w:right w:val="single" w:color="5b9bd5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476" w:dyaOrig="1051">
                <v:rect xmlns:o="urn:schemas-microsoft-com:office:office" xmlns:v="urn:schemas-microsoft-com:vml" id="rectole0000000001" style="width:123.800000pt;height:52.5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Blackadder ITC" w:hAnsi="Blackadder ITC" w:cs="Blackadder ITC" w:eastAsia="Blackadder ITC"/>
          <w:b/>
          <w:color w:val="4472C4"/>
          <w:spacing w:val="0"/>
          <w:position w:val="0"/>
          <w:sz w:val="7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472C4"/>
          <w:spacing w:val="0"/>
          <w:position w:val="0"/>
          <w:sz w:val="72"/>
          <w:u w:val="single"/>
          <w:shd w:fill="auto" w:val="clear"/>
        </w:rPr>
        <w:t xml:space="preserve">تمارين حول الاعداد العشرية</w:t>
      </w:r>
    </w:p>
    <w:p>
      <w:pPr>
        <w:spacing w:before="0" w:after="160" w:line="259"/>
        <w:ind w:right="0" w:left="0" w:firstLine="0"/>
        <w:jc w:val="center"/>
        <w:rPr>
          <w:rFonts w:ascii="Blackadder ITC" w:hAnsi="Blackadder ITC" w:cs="Blackadder ITC" w:eastAsia="Blackadder ITC"/>
          <w:color w:val="4472C4"/>
          <w:spacing w:val="0"/>
          <w:position w:val="0"/>
          <w:sz w:val="7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انجز العمليات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  </w:t>
      </w:r>
    </w:p>
    <w:p>
      <w:pPr>
        <w:bidi w:val="true"/>
        <w:spacing w:before="0" w:after="160" w:line="259"/>
        <w:ind w:right="0" w:left="0" w:firstLine="0"/>
        <w:jc w:val="lef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4.75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×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/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17.04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: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0.1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/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0.30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× 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100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/ 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56.000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×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10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/</w:t>
      </w:r>
    </w:p>
    <w:p>
      <w:pPr>
        <w:bidi w:val="true"/>
        <w:spacing w:before="0" w:after="160" w:line="259"/>
        <w:ind w:right="0" w:left="0" w:firstLine="0"/>
        <w:jc w:val="lef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55.13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: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100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/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263.1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: 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0.01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/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123.110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 :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0.001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/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تمرين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رقم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2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اكمل القاعدة لا يمكن انجاز عملية قسمة يكون قاسمها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ماذا يجب ان نفعل اذا ؟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....................................................................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تمرين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رقم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3  </w:t>
      </w:r>
      <w:r>
        <w:rPr>
          <w:rFonts w:ascii="Blackadder ITC" w:hAnsi="Blackadder ITC" w:cs="Blackadder ITC" w:eastAsia="Blackadder ITC"/>
          <w:b/>
          <w:color w:val="auto"/>
          <w:spacing w:val="0"/>
          <w:position w:val="0"/>
          <w:sz w:val="48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مستطيل قيس طول محيطه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476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م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.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احسب قيس مساحته اذا علمت ان قيس طوله يمثل مرة و نصف قيس عرضه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. 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استعمل الرسم البياني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حول الى الار ثم الى الها</w:t>
      </w:r>
    </w:p>
    <w:p>
      <w:pPr>
        <w:spacing w:before="0" w:after="160" w:line="259"/>
        <w:ind w:right="0" w:left="0" w:firstLine="0"/>
        <w:jc w:val="right"/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أنتج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الها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الواحد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465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كغ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من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البطاطا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.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احسب ثمن الكغ الواحد ائا كان قد باعها ب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755.576</w:t>
      </w:r>
      <w:r>
        <w:rPr>
          <w:rFonts w:ascii="Blackadder ITC" w:hAnsi="Blackadder ITC" w:cs="Blackadder ITC" w:eastAsia="Blackadder ITC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  <w:vertAlign w:val="superscript"/>
        </w:rPr>
        <w:t xml:space="preserve">د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9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medrassatouna.com/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